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left"/>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rPr>
      </w:pPr>
      <w:r w:rsidDel="00000000" w:rsidR="00000000" w:rsidRPr="00000000">
        <w:rPr>
          <w:rFonts w:ascii="Arial" w:cs="Arial" w:eastAsia="Arial" w:hAnsi="Arial"/>
          <w:b w:val="1"/>
          <w:sz w:val="24"/>
          <w:szCs w:val="24"/>
          <w:u w:val="single"/>
          <w:rtl w:val="0"/>
        </w:rPr>
        <w:t xml:space="preserve">PROCEDIMIENTO PARA SOLICITAR CERTIFICADOS PARA CAPACITACIONES REALIZADAS A TRAVÉS DEL INSTITUTO NACIONAL DE SALUD (INS)</w:t>
      </w: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4">
      <w:pPr>
        <w:spacing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5">
      <w:pPr>
        <w:numPr>
          <w:ilvl w:val="0"/>
          <w:numId w:val="1"/>
        </w:numPr>
        <w:spacing w:after="0" w:afterAutospacing="0" w:lin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Una vez concluída la capacitación, el coordinador/encargado de la capacitación deberá preparar, en formato electrónico utilizando la planilla estandarizada del INS en MS Excel (disponible en la página web del INS), colocando los siguientes datos en los lugares correspondientes de la planilla:</w:t>
      </w:r>
    </w:p>
    <w:p w:rsidR="00000000" w:rsidDel="00000000" w:rsidP="00000000" w:rsidRDefault="00000000" w:rsidRPr="00000000" w14:paraId="00000006">
      <w:pPr>
        <w:numPr>
          <w:ilvl w:val="1"/>
          <w:numId w:val="1"/>
        </w:numPr>
        <w:spacing w:after="0" w:afterAutospacing="0" w:line="240" w:lineRule="auto"/>
        <w:ind w:left="1440" w:hanging="360"/>
        <w:rPr>
          <w:rFonts w:ascii="Arial" w:cs="Arial" w:eastAsia="Arial" w:hAnsi="Arial"/>
          <w:b w:val="1"/>
          <w:sz w:val="24"/>
          <w:szCs w:val="24"/>
          <w:u w:val="none"/>
        </w:rPr>
      </w:pPr>
      <w:r w:rsidDel="00000000" w:rsidR="00000000" w:rsidRPr="00000000">
        <w:rPr>
          <w:rFonts w:ascii="Arial" w:cs="Arial" w:eastAsia="Arial" w:hAnsi="Arial"/>
          <w:b w:val="1"/>
          <w:sz w:val="24"/>
          <w:szCs w:val="24"/>
          <w:rtl w:val="0"/>
        </w:rPr>
        <w:t xml:space="preserve">Nombres (con mayúsculas iniciales, ej., “Juan Pablo”)</w:t>
      </w:r>
    </w:p>
    <w:p w:rsidR="00000000" w:rsidDel="00000000" w:rsidP="00000000" w:rsidRDefault="00000000" w:rsidRPr="00000000" w14:paraId="00000007">
      <w:pPr>
        <w:numPr>
          <w:ilvl w:val="1"/>
          <w:numId w:val="1"/>
        </w:numPr>
        <w:spacing w:after="0" w:afterAutospacing="0" w:line="240" w:lineRule="auto"/>
        <w:ind w:left="1440" w:hanging="360"/>
        <w:rPr>
          <w:rFonts w:ascii="Arial" w:cs="Arial" w:eastAsia="Arial" w:hAnsi="Arial"/>
          <w:b w:val="1"/>
          <w:sz w:val="24"/>
          <w:szCs w:val="24"/>
          <w:u w:val="none"/>
        </w:rPr>
      </w:pPr>
      <w:r w:rsidDel="00000000" w:rsidR="00000000" w:rsidRPr="00000000">
        <w:rPr>
          <w:rFonts w:ascii="Arial" w:cs="Arial" w:eastAsia="Arial" w:hAnsi="Arial"/>
          <w:b w:val="1"/>
          <w:sz w:val="24"/>
          <w:szCs w:val="24"/>
          <w:rtl w:val="0"/>
        </w:rPr>
        <w:t xml:space="preserve">Apellidos (con mayúsculas iniciales, ej., “González Martínez”)</w:t>
      </w:r>
    </w:p>
    <w:p w:rsidR="00000000" w:rsidDel="00000000" w:rsidP="00000000" w:rsidRDefault="00000000" w:rsidRPr="00000000" w14:paraId="00000008">
      <w:pPr>
        <w:numPr>
          <w:ilvl w:val="1"/>
          <w:numId w:val="1"/>
        </w:numPr>
        <w:spacing w:after="0" w:afterAutospacing="0" w:line="240" w:lineRule="auto"/>
        <w:ind w:left="1440" w:hanging="360"/>
        <w:rPr>
          <w:rFonts w:ascii="Arial" w:cs="Arial" w:eastAsia="Arial" w:hAnsi="Arial"/>
          <w:b w:val="1"/>
          <w:sz w:val="24"/>
          <w:szCs w:val="24"/>
          <w:u w:val="none"/>
        </w:rPr>
      </w:pPr>
      <w:r w:rsidDel="00000000" w:rsidR="00000000" w:rsidRPr="00000000">
        <w:rPr>
          <w:rFonts w:ascii="Arial" w:cs="Arial" w:eastAsia="Arial" w:hAnsi="Arial"/>
          <w:b w:val="1"/>
          <w:sz w:val="24"/>
          <w:szCs w:val="24"/>
          <w:rtl w:val="0"/>
        </w:rPr>
        <w:t xml:space="preserve">Número de cédula/documento</w:t>
      </w:r>
    </w:p>
    <w:p w:rsidR="00000000" w:rsidDel="00000000" w:rsidP="00000000" w:rsidRDefault="00000000" w:rsidRPr="00000000" w14:paraId="00000009">
      <w:pPr>
        <w:numPr>
          <w:ilvl w:val="1"/>
          <w:numId w:val="1"/>
        </w:numPr>
        <w:spacing w:after="0" w:afterAutospacing="0" w:line="240" w:lineRule="auto"/>
        <w:ind w:left="1440" w:hanging="360"/>
        <w:rPr>
          <w:rFonts w:ascii="Arial" w:cs="Arial" w:eastAsia="Arial" w:hAnsi="Arial"/>
          <w:b w:val="1"/>
          <w:sz w:val="24"/>
          <w:szCs w:val="24"/>
          <w:u w:val="none"/>
        </w:rPr>
      </w:pPr>
      <w:r w:rsidDel="00000000" w:rsidR="00000000" w:rsidRPr="00000000">
        <w:rPr>
          <w:rFonts w:ascii="Arial" w:cs="Arial" w:eastAsia="Arial" w:hAnsi="Arial"/>
          <w:b w:val="1"/>
          <w:sz w:val="24"/>
          <w:szCs w:val="24"/>
          <w:rtl w:val="0"/>
        </w:rPr>
        <w:t xml:space="preserve">Nombre de la capacitación (como figura en la Propuesta de Capacitación aprobada por el INS)</w:t>
      </w:r>
    </w:p>
    <w:p w:rsidR="00000000" w:rsidDel="00000000" w:rsidP="00000000" w:rsidRDefault="00000000" w:rsidRPr="00000000" w14:paraId="0000000A">
      <w:pPr>
        <w:numPr>
          <w:ilvl w:val="1"/>
          <w:numId w:val="1"/>
        </w:numPr>
        <w:spacing w:after="0" w:afterAutospacing="0" w:line="240" w:lineRule="auto"/>
        <w:ind w:left="1440" w:hanging="360"/>
        <w:rPr>
          <w:rFonts w:ascii="Arial" w:cs="Arial" w:eastAsia="Arial" w:hAnsi="Arial"/>
          <w:b w:val="1"/>
          <w:sz w:val="24"/>
          <w:szCs w:val="24"/>
          <w:u w:val="none"/>
        </w:rPr>
      </w:pPr>
      <w:r w:rsidDel="00000000" w:rsidR="00000000" w:rsidRPr="00000000">
        <w:rPr>
          <w:rFonts w:ascii="Arial" w:cs="Arial" w:eastAsia="Arial" w:hAnsi="Arial"/>
          <w:b w:val="1"/>
          <w:sz w:val="24"/>
          <w:szCs w:val="24"/>
          <w:rtl w:val="0"/>
        </w:rPr>
        <w:t xml:space="preserve">Capacidad del Certificado</w:t>
      </w:r>
    </w:p>
    <w:p w:rsidR="00000000" w:rsidDel="00000000" w:rsidP="00000000" w:rsidRDefault="00000000" w:rsidRPr="00000000" w14:paraId="0000000B">
      <w:pPr>
        <w:numPr>
          <w:ilvl w:val="2"/>
          <w:numId w:val="1"/>
        </w:numPr>
        <w:spacing w:after="0" w:afterAutospacing="0" w:line="240" w:lineRule="auto"/>
        <w:ind w:left="2160" w:hanging="360"/>
        <w:rPr>
          <w:rFonts w:ascii="Arial" w:cs="Arial" w:eastAsia="Arial" w:hAnsi="Arial"/>
          <w:b w:val="1"/>
          <w:sz w:val="24"/>
          <w:szCs w:val="24"/>
          <w:u w:val="none"/>
        </w:rPr>
      </w:pPr>
      <w:r w:rsidDel="00000000" w:rsidR="00000000" w:rsidRPr="00000000">
        <w:rPr>
          <w:rFonts w:ascii="Arial" w:cs="Arial" w:eastAsia="Arial" w:hAnsi="Arial"/>
          <w:b w:val="1"/>
          <w:sz w:val="24"/>
          <w:szCs w:val="24"/>
          <w:rtl w:val="0"/>
        </w:rPr>
        <w:t xml:space="preserve">Aprobado (cumplió con requisitos de asistencia y la evaluación)</w:t>
      </w:r>
    </w:p>
    <w:p w:rsidR="00000000" w:rsidDel="00000000" w:rsidP="00000000" w:rsidRDefault="00000000" w:rsidRPr="00000000" w14:paraId="0000000C">
      <w:pPr>
        <w:numPr>
          <w:ilvl w:val="2"/>
          <w:numId w:val="1"/>
        </w:numPr>
        <w:spacing w:after="0" w:afterAutospacing="0" w:line="240" w:lineRule="auto"/>
        <w:ind w:left="2160" w:hanging="360"/>
        <w:rPr>
          <w:rFonts w:ascii="Arial" w:cs="Arial" w:eastAsia="Arial" w:hAnsi="Arial"/>
          <w:b w:val="1"/>
          <w:sz w:val="24"/>
          <w:szCs w:val="24"/>
          <w:u w:val="none"/>
        </w:rPr>
      </w:pPr>
      <w:r w:rsidDel="00000000" w:rsidR="00000000" w:rsidRPr="00000000">
        <w:rPr>
          <w:rFonts w:ascii="Arial" w:cs="Arial" w:eastAsia="Arial" w:hAnsi="Arial"/>
          <w:b w:val="1"/>
          <w:sz w:val="24"/>
          <w:szCs w:val="24"/>
          <w:rtl w:val="0"/>
        </w:rPr>
        <w:t xml:space="preserve">Participante (cumplió solo con requisitos de asistencia)</w:t>
      </w:r>
    </w:p>
    <w:p w:rsidR="00000000" w:rsidDel="00000000" w:rsidP="00000000" w:rsidRDefault="00000000" w:rsidRPr="00000000" w14:paraId="0000000D">
      <w:pPr>
        <w:numPr>
          <w:ilvl w:val="2"/>
          <w:numId w:val="1"/>
        </w:numPr>
        <w:spacing w:line="240" w:lineRule="auto"/>
        <w:ind w:left="2160" w:hanging="360"/>
        <w:rPr>
          <w:rFonts w:ascii="Arial" w:cs="Arial" w:eastAsia="Arial" w:hAnsi="Arial"/>
          <w:b w:val="1"/>
          <w:sz w:val="24"/>
          <w:szCs w:val="24"/>
          <w:u w:val="none"/>
        </w:rPr>
      </w:pPr>
      <w:r w:rsidDel="00000000" w:rsidR="00000000" w:rsidRPr="00000000">
        <w:rPr>
          <w:rFonts w:ascii="Arial" w:cs="Arial" w:eastAsia="Arial" w:hAnsi="Arial"/>
          <w:b w:val="1"/>
          <w:sz w:val="24"/>
          <w:szCs w:val="24"/>
          <w:rtl w:val="0"/>
        </w:rPr>
        <w:t xml:space="preserve">Disertante</w:t>
      </w:r>
    </w:p>
    <w:p w:rsidR="00000000" w:rsidDel="00000000" w:rsidP="00000000" w:rsidRDefault="00000000" w:rsidRPr="00000000" w14:paraId="0000000E">
      <w:pPr>
        <w:spacing w:line="240"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F">
      <w:pPr>
        <w:numPr>
          <w:ilvl w:val="0"/>
          <w:numId w:val="1"/>
        </w:numPr>
        <w:spacing w:after="0" w:afterAutospacing="0" w:lin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 planilla deberá ser remitida en formato electrónico a los siguientes correos electrónicos:</w:t>
      </w:r>
    </w:p>
    <w:p w:rsidR="00000000" w:rsidDel="00000000" w:rsidP="00000000" w:rsidRDefault="00000000" w:rsidRPr="00000000" w14:paraId="00000010">
      <w:pPr>
        <w:numPr>
          <w:ilvl w:val="1"/>
          <w:numId w:val="1"/>
        </w:numPr>
        <w:spacing w:after="0" w:afterAutospacing="0" w:line="240" w:lineRule="auto"/>
        <w:ind w:left="1440" w:hanging="360"/>
        <w:rPr>
          <w:rFonts w:ascii="Arial" w:cs="Arial" w:eastAsia="Arial" w:hAnsi="Arial"/>
          <w:b w:val="1"/>
          <w:sz w:val="24"/>
          <w:szCs w:val="24"/>
        </w:rPr>
      </w:pPr>
      <w:hyperlink r:id="rId6">
        <w:r w:rsidDel="00000000" w:rsidR="00000000" w:rsidRPr="00000000">
          <w:rPr>
            <w:rFonts w:ascii="Arial" w:cs="Arial" w:eastAsia="Arial" w:hAnsi="Arial"/>
            <w:b w:val="1"/>
            <w:color w:val="1155cc"/>
            <w:sz w:val="24"/>
            <w:szCs w:val="24"/>
            <w:u w:val="single"/>
            <w:rtl w:val="0"/>
          </w:rPr>
          <w:t xml:space="preserve">informatica@ins.gov.py</w:t>
        </w:r>
      </w:hyperlink>
      <w:r w:rsidDel="00000000" w:rsidR="00000000" w:rsidRPr="00000000">
        <w:rPr>
          <w:rtl w:val="0"/>
        </w:rPr>
      </w:r>
    </w:p>
    <w:p w:rsidR="00000000" w:rsidDel="00000000" w:rsidP="00000000" w:rsidRDefault="00000000" w:rsidRPr="00000000" w14:paraId="00000011">
      <w:pPr>
        <w:numPr>
          <w:ilvl w:val="1"/>
          <w:numId w:val="1"/>
        </w:numPr>
        <w:spacing w:line="240" w:lineRule="auto"/>
        <w:ind w:left="1440" w:hanging="360"/>
        <w:rPr>
          <w:rFonts w:ascii="Arial" w:cs="Arial" w:eastAsia="Arial" w:hAnsi="Arial"/>
          <w:b w:val="1"/>
          <w:sz w:val="24"/>
          <w:szCs w:val="24"/>
        </w:rPr>
      </w:pPr>
      <w:hyperlink r:id="rId7">
        <w:r w:rsidDel="00000000" w:rsidR="00000000" w:rsidRPr="00000000">
          <w:rPr>
            <w:rFonts w:ascii="Arial" w:cs="Arial" w:eastAsia="Arial" w:hAnsi="Arial"/>
            <w:b w:val="1"/>
            <w:color w:val="1155cc"/>
            <w:sz w:val="24"/>
            <w:szCs w:val="24"/>
            <w:highlight w:val="white"/>
            <w:u w:val="single"/>
            <w:rtl w:val="0"/>
          </w:rPr>
          <w:t xml:space="preserve">asesoramientoacademicoins@gmail.com</w:t>
        </w:r>
      </w:hyperlink>
      <w:r w:rsidDel="00000000" w:rsidR="00000000" w:rsidRPr="00000000">
        <w:rPr>
          <w:rtl w:val="0"/>
        </w:rPr>
      </w:r>
    </w:p>
    <w:p w:rsidR="00000000" w:rsidDel="00000000" w:rsidP="00000000" w:rsidRDefault="00000000" w:rsidRPr="00000000" w14:paraId="00000012">
      <w:pPr>
        <w:spacing w:line="240" w:lineRule="auto"/>
        <w:ind w:left="144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3">
      <w:pPr>
        <w:numPr>
          <w:ilvl w:val="0"/>
          <w:numId w:val="1"/>
        </w:numPr>
        <w:spacing w:line="240" w:lineRule="auto"/>
        <w:ind w:left="720" w:hanging="360"/>
        <w:rPr>
          <w:rFonts w:ascii="Arial" w:cs="Arial" w:eastAsia="Arial" w:hAnsi="Arial"/>
          <w:b w:val="1"/>
          <w:sz w:val="24"/>
          <w:szCs w:val="24"/>
          <w:u w:val="none"/>
        </w:rPr>
      </w:pPr>
      <w:r w:rsidDel="00000000" w:rsidR="00000000" w:rsidRPr="00000000">
        <w:rPr>
          <w:rFonts w:ascii="Arial" w:cs="Arial" w:eastAsia="Arial" w:hAnsi="Arial"/>
          <w:b w:val="1"/>
          <w:sz w:val="24"/>
          <w:szCs w:val="24"/>
          <w:rtl w:val="0"/>
        </w:rPr>
        <w:t xml:space="preserve">Los certificados se emitirán solamente en formato digital, para ser descargados por los usuarios, y en el formato estandarizado del INS.</w:t>
      </w:r>
    </w:p>
    <w:p w:rsidR="00000000" w:rsidDel="00000000" w:rsidP="00000000" w:rsidRDefault="00000000" w:rsidRPr="00000000" w14:paraId="00000014">
      <w:pPr>
        <w:spacing w:line="240"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numPr>
          <w:ilvl w:val="0"/>
          <w:numId w:val="1"/>
        </w:numPr>
        <w:spacing w:line="240" w:lineRule="auto"/>
        <w:ind w:left="720" w:hanging="360"/>
        <w:rPr>
          <w:rFonts w:ascii="Arial" w:cs="Arial" w:eastAsia="Arial" w:hAnsi="Arial"/>
          <w:b w:val="1"/>
          <w:sz w:val="24"/>
          <w:szCs w:val="24"/>
          <w:u w:val="none"/>
        </w:rPr>
      </w:pPr>
      <w:r w:rsidDel="00000000" w:rsidR="00000000" w:rsidRPr="00000000">
        <w:rPr>
          <w:rFonts w:ascii="Arial" w:cs="Arial" w:eastAsia="Arial" w:hAnsi="Arial"/>
          <w:b w:val="1"/>
          <w:sz w:val="24"/>
          <w:szCs w:val="24"/>
          <w:rtl w:val="0"/>
        </w:rPr>
        <w:t xml:space="preserve">Una vez que los certificados estén listos, se remitirá un correo electrónico al remitente de la planilla, informándoles de dónde se podrán descargar dichos certificados.  El coordinador/encargado de la capacitación deberá trasladar dicha información a los alumnos para que estos puedan acceder a sus certificados.</w:t>
      </w:r>
    </w:p>
    <w:p w:rsidR="00000000" w:rsidDel="00000000" w:rsidP="00000000" w:rsidRDefault="00000000" w:rsidRPr="00000000" w14:paraId="00000016">
      <w:pPr>
        <w:spacing w:after="0" w:line="240" w:lineRule="auto"/>
        <w:ind w:left="3600" w:firstLine="720"/>
        <w:rPr>
          <w:rFonts w:ascii="Arial" w:cs="Arial" w:eastAsia="Arial" w:hAnsi="Arial"/>
          <w:b w:val="1"/>
          <w:i w:val="1"/>
          <w:sz w:val="24"/>
          <w:szCs w:val="24"/>
        </w:rPr>
      </w:pPr>
      <w:r w:rsidDel="00000000" w:rsidR="00000000" w:rsidRPr="00000000">
        <w:rPr>
          <w:rtl w:val="0"/>
        </w:rPr>
      </w:r>
    </w:p>
    <w:sectPr>
      <w:headerReference r:id="rId8" w:type="default"/>
      <w:headerReference r:id="rId9" w:type="even"/>
      <w:footerReference r:id="rId10" w:type="default"/>
      <w:pgSz w:h="16839" w:w="11907" w:orient="portrait"/>
      <w:pgMar w:bottom="1842" w:top="1985" w:left="1700" w:right="1133" w:header="141.73228346456693" w:footer="266.456692913385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pacing w:after="0" w:line="240" w:lineRule="auto"/>
      <w:rPr>
        <w:color w:val="000000"/>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-812799</wp:posOffset>
              </wp:positionH>
              <wp:positionV relativeFrom="paragraph">
                <wp:posOffset>-665479</wp:posOffset>
              </wp:positionV>
              <wp:extent cx="7019925" cy="818040"/>
              <wp:effectExtent b="0" l="0" r="0" t="0"/>
              <wp:wrapSquare wrapText="bothSides" distB="45720" distT="45720" distL="114300" distR="114300"/>
              <wp:docPr id="2" name=""/>
              <a:graphic>
                <a:graphicData uri="http://schemas.microsoft.com/office/word/2010/wordprocessingGroup">
                  <wpg:wgp>
                    <wpg:cNvGrpSpPr/>
                    <wpg:grpSpPr>
                      <a:xfrm>
                        <a:off x="1836025" y="3421275"/>
                        <a:ext cx="7019925" cy="818040"/>
                        <a:chOff x="1836025" y="3421275"/>
                        <a:chExt cx="7019950" cy="790850"/>
                      </a:xfrm>
                    </wpg:grpSpPr>
                    <wps:wsp>
                      <wps:cNvSpPr/>
                      <wps:cNvPr id="3" name="Shape 3"/>
                      <wps:spPr>
                        <a:xfrm>
                          <a:off x="1840800" y="3427575"/>
                          <a:ext cx="7010400" cy="70485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840800" y="3427575"/>
                          <a:ext cx="7010400" cy="705000"/>
                        </a:xfrm>
                        <a:prstGeom prst="roundRect">
                          <a:avLst>
                            <a:gd fmla="val 16667"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Calibri" w:cs="Calibri" w:eastAsia="Calibri" w:hAnsi="Calibri"/>
                                <w:b w:val="0"/>
                                <w:i w:val="0"/>
                                <w:smallCaps w:val="0"/>
                                <w:strike w:val="0"/>
                                <w:color w:val="000000"/>
                                <w:sz w:val="22"/>
                                <w:vertAlign w:val="baseline"/>
                              </w:rPr>
                              <w:t xml:space="preserve">(595-21) 283-798 / 294-482 / 296-210                                                                                 </w:t>
                            </w:r>
                            <w:r w:rsidDel="00000000" w:rsidR="00000000" w:rsidRPr="00000000">
                              <w:rPr>
                                <w:rFonts w:ascii="Calibri" w:cs="Calibri" w:eastAsia="Calibri" w:hAnsi="Calibri"/>
                                <w:b w:val="0"/>
                                <w:i w:val="0"/>
                                <w:smallCaps w:val="0"/>
                                <w:strike w:val="0"/>
                                <w:color w:val="0000ff"/>
                                <w:sz w:val="22"/>
                                <w:vertAlign w:val="baseline"/>
                              </w:rPr>
                              <w:t xml:space="preserve">         </w:t>
                            </w:r>
                            <w:r w:rsidDel="00000000" w:rsidR="00000000" w:rsidRPr="00000000">
                              <w:rPr>
                                <w:rFonts w:ascii="Calibri" w:cs="Calibri" w:eastAsia="Calibri" w:hAnsi="Calibri"/>
                                <w:b w:val="0"/>
                                <w:i w:val="0"/>
                                <w:smallCaps w:val="0"/>
                                <w:strike w:val="0"/>
                                <w:color w:val="000099"/>
                                <w:sz w:val="22"/>
                                <w:u w:val="single"/>
                                <w:vertAlign w:val="baseline"/>
                              </w:rPr>
                              <w:t xml:space="preserve">www.ins.gov.py</w:t>
                            </w:r>
                            <w:r w:rsidDel="00000000" w:rsidR="00000000" w:rsidRPr="00000000">
                              <w:rPr>
                                <w:rFonts w:ascii="Calibri" w:cs="Calibri" w:eastAsia="Calibri" w:hAnsi="Calibri"/>
                                <w:b w:val="0"/>
                                <w:i w:val="0"/>
                                <w:smallCaps w:val="0"/>
                                <w:strike w:val="0"/>
                                <w:color w:val="954f72"/>
                                <w:sz w:val="22"/>
                                <w:vertAlign w:val="baseline"/>
                              </w:rPr>
                              <w:t xml:space="preserv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954f72"/>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RR.HH. INS (595-21) 326-4556                                                                                                </w:t>
                            </w: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Calibri" w:cs="Calibri" w:eastAsia="Calibri" w:hAnsi="Calibri"/>
                                <w:b w:val="0"/>
                                <w:i w:val="0"/>
                                <w:smallCaps w:val="0"/>
                                <w:strike w:val="0"/>
                                <w:color w:val="000099"/>
                                <w:sz w:val="22"/>
                                <w:u w:val="single"/>
                                <w:vertAlign w:val="baseline"/>
                              </w:rPr>
                              <w:t xml:space="preserve">mesadeentrada@ins.gov.py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ff"/>
                                <w:sz w:val="22"/>
                                <w:u w:val="single"/>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Avda. Santísima Trinidad c/ Pasaje Francia                                                                                   Asunción, Paraguay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wpg:wgp>
                </a:graphicData>
              </a:graphic>
            </wp:anchor>
          </w:drawing>
        </mc:Choice>
        <mc:Fallback>
          <w:drawing>
            <wp:anchor allowOverlap="1" behindDoc="0" distB="45720" distT="45720" distL="114300" distR="114300" hidden="0" layoutInCell="1" locked="0" relativeHeight="0" simplePos="0">
              <wp:simplePos x="0" y="0"/>
              <wp:positionH relativeFrom="column">
                <wp:posOffset>-812799</wp:posOffset>
              </wp:positionH>
              <wp:positionV relativeFrom="paragraph">
                <wp:posOffset>-665479</wp:posOffset>
              </wp:positionV>
              <wp:extent cx="7019925" cy="818040"/>
              <wp:effectExtent b="0" l="0" r="0" t="0"/>
              <wp:wrapSquare wrapText="bothSides" distB="45720" distT="45720" distL="114300" distR="114300"/>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019925" cy="81804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tabs>
        <w:tab w:val="center" w:leader="none" w:pos="7371"/>
      </w:tabs>
      <w:spacing w:after="0" w:lineRule="auto"/>
      <w:ind w:right="335"/>
      <w:jc w:val="center"/>
      <w:rPr>
        <w:i w:val="1"/>
        <w:color w:val="999999"/>
        <w:sz w:val="16"/>
        <w:szCs w:val="16"/>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95251</wp:posOffset>
          </wp:positionV>
          <wp:extent cx="3080385" cy="466725"/>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080385" cy="466725"/>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1057275</wp:posOffset>
              </wp:positionV>
              <wp:extent cx="7248525" cy="228600"/>
              <wp:effectExtent b="0" l="0" r="0" t="0"/>
              <wp:wrapNone/>
              <wp:docPr id="1" name=""/>
              <a:graphic>
                <a:graphicData uri="http://schemas.microsoft.com/office/word/2010/wordprocessingShape">
                  <wps:wsp>
                    <wps:cNvSpPr/>
                    <wps:cNvPr id="2" name="Shape 2"/>
                    <wps:spPr>
                      <a:xfrm>
                        <a:off x="1740788" y="3684750"/>
                        <a:ext cx="7210425" cy="190500"/>
                      </a:xfrm>
                      <a:prstGeom prst="rect">
                        <a:avLst/>
                      </a:prstGeom>
                      <a:gradFill>
                        <a:gsLst>
                          <a:gs pos="0">
                            <a:srgbClr val="808080"/>
                          </a:gs>
                          <a:gs pos="100000">
                            <a:srgbClr val="FFFFFF"/>
                          </a:gs>
                        </a:gsLst>
                        <a:lin ang="108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1057275</wp:posOffset>
              </wp:positionV>
              <wp:extent cx="7248525" cy="228600"/>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248525" cy="228600"/>
                      </a:xfrm>
                      <a:prstGeom prst="rect"/>
                      <a:ln/>
                    </pic:spPr>
                  </pic:pic>
                </a:graphicData>
              </a:graphic>
            </wp:anchor>
          </w:drawing>
        </mc:Fallback>
      </mc:AlternateContent>
    </w:r>
    <w:r w:rsidDel="00000000" w:rsidR="00000000" w:rsidRPr="00000000">
      <w:drawing>
        <wp:anchor allowOverlap="1" behindDoc="1" distB="114300" distT="114300" distL="114300" distR="114300" hidden="0" layoutInCell="1" locked="0" relativeHeight="0" simplePos="0">
          <wp:simplePos x="0" y="0"/>
          <wp:positionH relativeFrom="column">
            <wp:posOffset>4017970</wp:posOffset>
          </wp:positionH>
          <wp:positionV relativeFrom="paragraph">
            <wp:posOffset>57151</wp:posOffset>
          </wp:positionV>
          <wp:extent cx="1743021" cy="543413"/>
          <wp:effectExtent b="0" l="0" r="0" t="0"/>
          <wp:wrapNone/>
          <wp:docPr id="4"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743021" cy="543413"/>
                  </a:xfrm>
                  <a:prstGeom prst="rect"/>
                  <a:ln/>
                </pic:spPr>
              </pic:pic>
            </a:graphicData>
          </a:graphic>
        </wp:anchor>
      </w:drawing>
    </w:r>
  </w:p>
  <w:p w:rsidR="00000000" w:rsidDel="00000000" w:rsidP="00000000" w:rsidRDefault="00000000" w:rsidRPr="00000000" w14:paraId="00000018">
    <w:pPr>
      <w:tabs>
        <w:tab w:val="center" w:leader="none" w:pos="7371"/>
      </w:tabs>
      <w:spacing w:after="0" w:lineRule="auto"/>
      <w:ind w:right="335"/>
      <w:jc w:val="center"/>
      <w:rPr>
        <w:i w:val="1"/>
        <w:color w:val="999999"/>
        <w:sz w:val="16"/>
        <w:szCs w:val="16"/>
      </w:rPr>
    </w:pPr>
    <w:r w:rsidDel="00000000" w:rsidR="00000000" w:rsidRPr="00000000">
      <w:rPr>
        <w:rtl w:val="0"/>
      </w:rPr>
    </w:r>
  </w:p>
  <w:p w:rsidR="00000000" w:rsidDel="00000000" w:rsidP="00000000" w:rsidRDefault="00000000" w:rsidRPr="00000000" w14:paraId="00000019">
    <w:pPr>
      <w:tabs>
        <w:tab w:val="center" w:leader="none" w:pos="7371"/>
      </w:tabs>
      <w:spacing w:after="0" w:lineRule="auto"/>
      <w:ind w:right="335"/>
      <w:jc w:val="center"/>
      <w:rPr>
        <w:i w:val="1"/>
        <w:color w:val="999999"/>
        <w:sz w:val="16"/>
        <w:szCs w:val="16"/>
      </w:rPr>
    </w:pPr>
    <w:r w:rsidDel="00000000" w:rsidR="00000000" w:rsidRPr="00000000">
      <w:rPr>
        <w:rtl w:val="0"/>
      </w:rPr>
    </w:r>
  </w:p>
  <w:p w:rsidR="00000000" w:rsidDel="00000000" w:rsidP="00000000" w:rsidRDefault="00000000" w:rsidRPr="00000000" w14:paraId="0000001A">
    <w:pPr>
      <w:tabs>
        <w:tab w:val="center" w:leader="none" w:pos="7371"/>
      </w:tabs>
      <w:spacing w:after="0" w:lineRule="auto"/>
      <w:ind w:right="335"/>
      <w:jc w:val="center"/>
      <w:rPr>
        <w:i w:val="1"/>
        <w:color w:val="999999"/>
        <w:sz w:val="16"/>
        <w:szCs w:val="16"/>
      </w:rPr>
    </w:pPr>
    <w:r w:rsidDel="00000000" w:rsidR="00000000" w:rsidRPr="00000000">
      <w:rPr>
        <w:rtl w:val="0"/>
      </w:rPr>
    </w:r>
  </w:p>
  <w:p w:rsidR="00000000" w:rsidDel="00000000" w:rsidP="00000000" w:rsidRDefault="00000000" w:rsidRPr="00000000" w14:paraId="0000001B">
    <w:pPr>
      <w:tabs>
        <w:tab w:val="center" w:leader="none" w:pos="7371"/>
      </w:tabs>
      <w:spacing w:after="0" w:lineRule="auto"/>
      <w:ind w:right="335"/>
      <w:jc w:val="center"/>
      <w:rPr>
        <w:i w:val="1"/>
        <w:color w:val="999999"/>
        <w:sz w:val="16"/>
        <w:szCs w:val="16"/>
      </w:rPr>
    </w:pPr>
    <w:r w:rsidDel="00000000" w:rsidR="00000000" w:rsidRPr="00000000">
      <w:rPr>
        <w:rtl w:val="0"/>
      </w:rPr>
    </w:r>
  </w:p>
  <w:p w:rsidR="00000000" w:rsidDel="00000000" w:rsidP="00000000" w:rsidRDefault="00000000" w:rsidRPr="00000000" w14:paraId="0000001C">
    <w:pPr>
      <w:tabs>
        <w:tab w:val="center" w:leader="none" w:pos="7371"/>
      </w:tabs>
      <w:spacing w:after="0" w:lineRule="auto"/>
      <w:ind w:right="335"/>
      <w:jc w:val="center"/>
      <w:rPr>
        <w:i w:val="1"/>
        <w:color w:val="999999"/>
        <w:sz w:val="16"/>
        <w:szCs w:val="16"/>
        <w:vertAlign w:val="baseline"/>
      </w:rPr>
    </w:pPr>
    <w:r w:rsidDel="00000000" w:rsidR="00000000" w:rsidRPr="00000000">
      <w:rPr>
        <w:i w:val="1"/>
        <w:color w:val="999999"/>
        <w:sz w:val="16"/>
        <w:szCs w:val="16"/>
        <w:rtl w:val="0"/>
      </w:rPr>
      <w:t xml:space="preserve">Misión:  Garantizar las funciones de rectoría, conducción, financiamiento y provisión de servicios de salud con el fin de alcanzar la cobertura universal, bajo el enfoque de protección social, en el marco del Sistema Nacional de Salud.</w:t>
    </w:r>
    <w:r w:rsidDel="00000000" w:rsidR="00000000" w:rsidRPr="00000000">
      <w:rPr>
        <w:rtl w:val="0"/>
      </w:rPr>
    </w:r>
  </w:p>
  <w:p w:rsidR="00000000" w:rsidDel="00000000" w:rsidP="00000000" w:rsidRDefault="00000000" w:rsidRPr="00000000" w14:paraId="0000001D">
    <w:pPr>
      <w:pageBreakBefore w:val="0"/>
      <w:tabs>
        <w:tab w:val="center" w:leader="none" w:pos="7371"/>
      </w:tabs>
      <w:spacing w:after="0" w:line="240" w:lineRule="auto"/>
      <w:rPr/>
    </w:pPr>
    <w:r w:rsidDel="00000000" w:rsidR="00000000" w:rsidRPr="00000000">
      <w:rPr>
        <w:rtl w:val="0"/>
      </w:rPr>
    </w:r>
  </w:p>
  <w:p w:rsidR="00000000" w:rsidDel="00000000" w:rsidP="00000000" w:rsidRDefault="00000000" w:rsidRPr="00000000" w14:paraId="0000001E">
    <w:pPr>
      <w:pageBreakBefore w:val="0"/>
      <w:tabs>
        <w:tab w:val="center" w:leader="none" w:pos="7371"/>
      </w:tabs>
      <w:spacing w:after="0"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pacing w:after="0" w:line="240" w:lineRule="auto"/>
      <w:rPr>
        <w:color w:val="000000"/>
        <w:vertAlign w:val="baseline"/>
      </w:rPr>
    </w:pPr>
    <w:r w:rsidDel="00000000" w:rsidR="00000000" w:rsidRPr="00000000">
      <w:rPr>
        <w:rtl w:val="0"/>
      </w:rPr>
    </w:r>
  </w:p>
  <w:p w:rsidR="00000000" w:rsidDel="00000000" w:rsidP="00000000" w:rsidRDefault="00000000" w:rsidRPr="00000000" w14:paraId="00000020">
    <w:pPr>
      <w:pageBreakBefore w:val="0"/>
      <w:rPr>
        <w:vertAlign w:val="baseline"/>
      </w:rPr>
    </w:pPr>
    <w:r w:rsidDel="00000000" w:rsidR="00000000" w:rsidRPr="00000000">
      <w:rP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PY"/>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informatica@ins.gov.py" TargetMode="External"/><Relationship Id="rId7" Type="http://schemas.openxmlformats.org/officeDocument/2006/relationships/hyperlink" Target="mailto:asesoramientoacademicoins@gmail.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